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Times New Roman" w:hAnsi="Times New Roman" w:eastAsia="黑体" w:cs="Times New Roman"/>
          <w:szCs w:val="30"/>
          <w:lang w:val="en-US" w:eastAsia="zh-CN"/>
        </w:rPr>
      </w:pPr>
      <w:r>
        <w:rPr>
          <w:rFonts w:ascii="Times New Roman" w:hAnsi="Times New Roman" w:eastAsia="黑体" w:cs="Times New Roman"/>
          <w:szCs w:val="30"/>
        </w:rPr>
        <w:t>附件</w:t>
      </w:r>
      <w:r>
        <w:rPr>
          <w:rFonts w:hint="eastAsia" w:eastAsia="黑体" w:cs="Times New Roman"/>
          <w:szCs w:val="30"/>
          <w:lang w:val="en-US" w:eastAsia="zh-CN"/>
        </w:rPr>
        <w:t>1</w:t>
      </w:r>
    </w:p>
    <w:p>
      <w:pPr>
        <w:adjustRightInd w:val="0"/>
        <w:snapToGrid w:val="0"/>
        <w:spacing w:line="600" w:lineRule="exact"/>
        <w:rPr>
          <w:rFonts w:ascii="Times New Roman" w:hAnsi="Times New Roman" w:eastAsia="黑体" w:cs="Times New Roman"/>
          <w:szCs w:val="30"/>
        </w:rPr>
      </w:pPr>
    </w:p>
    <w:p>
      <w:pPr>
        <w:adjustRightInd w:val="0"/>
        <w:snapToGrid w:val="0"/>
        <w:spacing w:line="60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第五届粤港澳大湾区知识产权交易博览会</w:t>
      </w:r>
    </w:p>
    <w:p>
      <w:pPr>
        <w:adjustRightInd w:val="0"/>
        <w:snapToGrid w:val="0"/>
        <w:spacing w:line="60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暨国际地理标志产品交易博览会</w:t>
      </w:r>
    </w:p>
    <w:p>
      <w:pPr>
        <w:adjustRightInd w:val="0"/>
        <w:snapToGrid w:val="0"/>
        <w:spacing w:line="600" w:lineRule="exact"/>
        <w:jc w:val="center"/>
        <w:rPr>
          <w:rFonts w:ascii="Times New Roman" w:hAnsi="Times New Roman" w:eastAsia="小标宋" w:cs="Times New Roman"/>
          <w:kern w:val="0"/>
          <w:sz w:val="44"/>
          <w:szCs w:val="44"/>
        </w:rPr>
      </w:pPr>
      <w:r>
        <w:rPr>
          <w:rFonts w:ascii="Times New Roman" w:hAnsi="Times New Roman" w:eastAsia="小标宋" w:cs="Times New Roman"/>
          <w:sz w:val="44"/>
          <w:szCs w:val="44"/>
        </w:rPr>
        <w:t>招商招展说明</w:t>
      </w:r>
    </w:p>
    <w:p>
      <w:pPr>
        <w:adjustRightInd w:val="0"/>
        <w:snapToGrid w:val="0"/>
        <w:spacing w:line="600" w:lineRule="exact"/>
        <w:ind w:firstLine="880" w:firstLineChars="200"/>
        <w:jc w:val="center"/>
        <w:rPr>
          <w:rFonts w:ascii="Times New Roman" w:hAnsi="Times New Roman" w:eastAsia="小标宋" w:cs="Times New Roman"/>
          <w:kern w:val="0"/>
          <w:sz w:val="44"/>
          <w:szCs w:val="44"/>
        </w:rPr>
      </w:pP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第五届粤港澳大湾区知识产权交易博览会暨国际地理标志产品交易博览会（以下简称知交会暨地博会）定于2022年12月9日至11日在广州举办。本届知交会暨地博会采取线上为主，线上线下相结合的形式办会。</w:t>
      </w:r>
    </w:p>
    <w:p>
      <w:pPr>
        <w:adjustRightInd w:val="0"/>
        <w:snapToGrid w:val="0"/>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一、活动时间</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2022年12月9日至</w:t>
      </w:r>
      <w:r>
        <w:rPr>
          <w:rFonts w:hint="eastAsia" w:ascii="Times New Roman" w:hAnsi="Times New Roman" w:cs="Times New Roman"/>
          <w:szCs w:val="32"/>
          <w:lang w:val="en-US" w:eastAsia="zh-CN"/>
        </w:rPr>
        <w:t>11</w:t>
      </w:r>
      <w:r>
        <w:rPr>
          <w:rFonts w:ascii="Times New Roman" w:hAnsi="Times New Roman" w:cs="Times New Roman"/>
          <w:szCs w:val="32"/>
        </w:rPr>
        <w:t>日，会期3天。</w:t>
      </w:r>
    </w:p>
    <w:p>
      <w:pPr>
        <w:widowControl/>
        <w:spacing w:line="600" w:lineRule="exact"/>
        <w:ind w:firstLine="640" w:firstLineChars="200"/>
        <w:jc w:val="left"/>
        <w:rPr>
          <w:rFonts w:ascii="Times New Roman" w:hAnsi="Times New Roman" w:cs="Times New Roman"/>
          <w:szCs w:val="32"/>
        </w:rPr>
      </w:pPr>
      <w:r>
        <w:rPr>
          <w:rFonts w:ascii="Times New Roman" w:hAnsi="Times New Roman" w:eastAsia="黑体" w:cs="Times New Roman"/>
          <w:bCs/>
        </w:rPr>
        <w:t>二、网上知交会暨地博会平台</w:t>
      </w:r>
    </w:p>
    <w:p>
      <w:pPr>
        <w:widowControl/>
        <w:adjustRightInd w:val="0"/>
        <w:snapToGrid w:val="0"/>
        <w:spacing w:line="600" w:lineRule="exact"/>
        <w:ind w:firstLine="640" w:firstLineChars="200"/>
        <w:jc w:val="left"/>
        <w:rPr>
          <w:rFonts w:ascii="Times New Roman" w:hAnsi="Times New Roman" w:cs="Times New Roman"/>
          <w:szCs w:val="32"/>
        </w:rPr>
      </w:pPr>
      <w:r>
        <w:rPr>
          <w:rFonts w:ascii="Times New Roman" w:hAnsi="Times New Roman" w:cs="Times New Roman"/>
          <w:szCs w:val="32"/>
        </w:rPr>
        <w:t>PC端：</w:t>
      </w:r>
      <w:r>
        <w:rPr>
          <w:rFonts w:ascii="Times New Roman" w:hAnsi="Times New Roman" w:cs="Times New Roman"/>
        </w:rPr>
        <w:fldChar w:fldCharType="begin"/>
      </w:r>
      <w:r>
        <w:rPr>
          <w:rFonts w:ascii="Times New Roman" w:hAnsi="Times New Roman" w:cs="Times New Roman"/>
        </w:rPr>
        <w:instrText xml:space="preserve"> HYPERLINK "http://www.GBAIPExpo.com" </w:instrText>
      </w:r>
      <w:r>
        <w:rPr>
          <w:rFonts w:ascii="Times New Roman" w:hAnsi="Times New Roman" w:cs="Times New Roman"/>
        </w:rPr>
        <w:fldChar w:fldCharType="separate"/>
      </w:r>
      <w:r>
        <w:rPr>
          <w:rFonts w:ascii="Times New Roman" w:hAnsi="Times New Roman" w:cs="Times New Roman"/>
        </w:rPr>
        <w:t>www.GB</w:t>
      </w:r>
      <w:bookmarkStart w:id="0" w:name="_Hlt118209244"/>
      <w:r>
        <w:rPr>
          <w:rFonts w:ascii="Times New Roman" w:hAnsi="Times New Roman" w:cs="Times New Roman"/>
        </w:rPr>
        <w:t>A</w:t>
      </w:r>
      <w:bookmarkEnd w:id="0"/>
      <w:r>
        <w:rPr>
          <w:rFonts w:ascii="Times New Roman" w:hAnsi="Times New Roman" w:cs="Times New Roman"/>
        </w:rPr>
        <w:t>IPEx</w:t>
      </w:r>
      <w:bookmarkStart w:id="1" w:name="_Hlt118209249"/>
      <w:r>
        <w:rPr>
          <w:rFonts w:ascii="Times New Roman" w:hAnsi="Times New Roman" w:cs="Times New Roman"/>
        </w:rPr>
        <w:t>p</w:t>
      </w:r>
      <w:bookmarkEnd w:id="1"/>
      <w:r>
        <w:rPr>
          <w:rFonts w:ascii="Times New Roman" w:hAnsi="Times New Roman" w:cs="Times New Roman"/>
        </w:rPr>
        <w:t>o.com</w:t>
      </w:r>
      <w:r>
        <w:rPr>
          <w:rFonts w:ascii="Times New Roman" w:hAnsi="Times New Roman" w:cs="Times New Roman"/>
        </w:rPr>
        <w:fldChar w:fldCharType="end"/>
      </w:r>
    </w:p>
    <w:p>
      <w:pPr>
        <w:widowControl/>
        <w:adjustRightInd w:val="0"/>
        <w:snapToGrid w:val="0"/>
        <w:spacing w:line="600" w:lineRule="exact"/>
        <w:ind w:firstLine="640" w:firstLineChars="200"/>
        <w:jc w:val="left"/>
        <w:rPr>
          <w:rFonts w:ascii="Times New Roman" w:hAnsi="Times New Roman" w:cs="Times New Roman"/>
          <w:szCs w:val="32"/>
        </w:rPr>
      </w:pPr>
      <w:r>
        <w:rPr>
          <w:rFonts w:ascii="Times New Roman" w:hAnsi="Times New Roman" w:cs="Times New Roman"/>
          <w:szCs w:val="32"/>
        </w:rPr>
        <w:t>APP端：知交地博会</w:t>
      </w:r>
    </w:p>
    <w:p>
      <w:pPr>
        <w:pStyle w:val="3"/>
        <w:numPr>
          <w:ilvl w:val="0"/>
          <w:numId w:val="1"/>
        </w:numPr>
        <w:spacing w:line="600" w:lineRule="exact"/>
        <w:ind w:left="0" w:leftChars="0" w:firstLine="640" w:firstLineChars="200"/>
        <w:rPr>
          <w:rFonts w:ascii="Times New Roman" w:hAnsi="Times New Roman" w:eastAsia="黑体" w:cs="Times New Roman"/>
          <w:szCs w:val="32"/>
        </w:rPr>
      </w:pPr>
      <w:r>
        <w:rPr>
          <w:rFonts w:ascii="Times New Roman" w:hAnsi="Times New Roman" w:eastAsia="黑体" w:cs="Times New Roman"/>
          <w:szCs w:val="32"/>
        </w:rPr>
        <w:t>线下会址</w:t>
      </w:r>
    </w:p>
    <w:p>
      <w:pPr>
        <w:widowControl/>
        <w:spacing w:line="600" w:lineRule="exact"/>
        <w:ind w:firstLine="640" w:firstLineChars="200"/>
        <w:jc w:val="left"/>
        <w:rPr>
          <w:rFonts w:ascii="Times New Roman" w:hAnsi="Times New Roman" w:cs="Times New Roman"/>
          <w:szCs w:val="32"/>
        </w:rPr>
      </w:pPr>
      <w:r>
        <w:rPr>
          <w:rFonts w:ascii="Times New Roman" w:hAnsi="Times New Roman" w:cs="Times New Roman"/>
          <w:szCs w:val="32"/>
        </w:rPr>
        <w:t>知识城国际会展中心（广东省广州市黄埔区中新广州知识城凤桐直街12号）。</w:t>
      </w:r>
    </w:p>
    <w:p>
      <w:pPr>
        <w:adjustRightInd w:val="0"/>
        <w:snapToGrid w:val="0"/>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四、形式及规模</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lang w:bidi="en-US"/>
        </w:rPr>
        <w:t>第五届知交会暨地博会</w:t>
      </w:r>
      <w:r>
        <w:rPr>
          <w:rFonts w:ascii="Times New Roman" w:hAnsi="Times New Roman" w:cs="Times New Roman"/>
          <w:szCs w:val="32"/>
        </w:rPr>
        <w:t>以“贯彻强国建设纲要 推进构建新发展格局”为主题，由知识产权交易博览、知识产权湾区论坛和知识产权专场活动三大主板块组成，采取线上为主，线上线下结合的办会模式，广泛对接知识产权转移转化供需两端，汇聚资源落地转化，丰富地理标志产品交易活动，全面推动“知交会+互联网”立体发展。</w:t>
      </w:r>
      <w:r>
        <w:rPr>
          <w:rFonts w:ascii="Times New Roman" w:hAnsi="Times New Roman" w:cs="Times New Roman"/>
          <w:szCs w:val="32"/>
          <w:lang w:bidi="en-US"/>
        </w:rPr>
        <w:t>招募线上展商4000家，</w:t>
      </w:r>
      <w:r>
        <w:rPr>
          <w:rFonts w:ascii="Times New Roman" w:hAnsi="Times New Roman" w:cs="Times New Roman"/>
          <w:szCs w:val="32"/>
        </w:rPr>
        <w:t>线下展商</w:t>
      </w:r>
      <w:r>
        <w:rPr>
          <w:rFonts w:ascii="Times New Roman" w:hAnsi="Times New Roman" w:cs="Times New Roman"/>
          <w:szCs w:val="32"/>
          <w:lang w:bidi="en-US"/>
        </w:rPr>
        <w:t>200</w:t>
      </w:r>
      <w:r>
        <w:rPr>
          <w:rFonts w:ascii="Times New Roman" w:hAnsi="Times New Roman" w:cs="Times New Roman"/>
          <w:szCs w:val="32"/>
        </w:rPr>
        <w:t>家。</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五、招展说明</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第五届知交会暨</w:t>
      </w:r>
      <w:r>
        <w:rPr>
          <w:rFonts w:ascii="Times New Roman" w:hAnsi="Times New Roman" w:cs="Times New Roman"/>
          <w:szCs w:val="32"/>
          <w:lang w:bidi="en-US"/>
        </w:rPr>
        <w:t>地博会交易博览分为线上、线下两部分。</w:t>
      </w:r>
      <w:r>
        <w:rPr>
          <w:rFonts w:ascii="Times New Roman" w:hAnsi="Times New Roman" w:cs="Times New Roman"/>
          <w:szCs w:val="32"/>
        </w:rPr>
        <w:t xml:space="preserve"> </w:t>
      </w:r>
    </w:p>
    <w:p>
      <w:pPr>
        <w:adjustRightInd w:val="0"/>
        <w:spacing w:line="600" w:lineRule="exact"/>
        <w:ind w:firstLine="642" w:firstLineChars="200"/>
        <w:rPr>
          <w:rFonts w:ascii="Times New Roman" w:hAnsi="Times New Roman" w:cs="Times New Roman"/>
          <w:szCs w:val="32"/>
        </w:rPr>
      </w:pPr>
      <w:r>
        <w:rPr>
          <w:rFonts w:ascii="Times New Roman" w:hAnsi="Times New Roman" w:eastAsia="楷体_GB2312" w:cs="Times New Roman"/>
          <w:b/>
          <w:bCs/>
          <w:szCs w:val="32"/>
          <w:lang w:bidi="en-US"/>
        </w:rPr>
        <w:t>（一）线上展览部分</w:t>
      </w:r>
      <w:r>
        <w:rPr>
          <w:rFonts w:ascii="Times New Roman" w:hAnsi="Times New Roman" w:eastAsia="楷体_GB2312" w:cs="Times New Roman"/>
          <w:szCs w:val="32"/>
          <w:lang w:bidi="en-US"/>
        </w:rPr>
        <w:t>：</w:t>
      </w:r>
      <w:r>
        <w:rPr>
          <w:rFonts w:ascii="Times New Roman" w:hAnsi="Times New Roman" w:cs="Times New Roman"/>
          <w:szCs w:val="32"/>
        </w:rPr>
        <w:t>知交会暨地博会平台将突出创新成果和地理标志产品的展示交易主题，打造“2馆8区”，“2馆”为地理标志产品专馆和知识产权交易博览馆，地理标志产品专馆设国际和国内两个展区，知识产权交易博览馆包括中国专利金奖成果博览区、专利技术交易博览区、商标品牌交易博览区、版权文化交易博览区、国际知识产权交易博览区、知识产权运营服务区。</w:t>
      </w:r>
    </w:p>
    <w:p>
      <w:pPr>
        <w:adjustRightInd w:val="0"/>
        <w:spacing w:line="600" w:lineRule="exact"/>
        <w:ind w:firstLine="642" w:firstLineChars="200"/>
        <w:rPr>
          <w:rFonts w:ascii="Times New Roman" w:hAnsi="Times New Roman" w:cs="Times New Roman"/>
          <w:b/>
          <w:szCs w:val="32"/>
        </w:rPr>
      </w:pPr>
      <w:r>
        <w:rPr>
          <w:rFonts w:ascii="Times New Roman" w:hAnsi="Times New Roman" w:cs="Times New Roman"/>
          <w:b/>
          <w:szCs w:val="32"/>
        </w:rPr>
        <w:t>1.地理标志产品专馆</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（1）地理标志产品专馆国际展区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邀请国（境）外地理标志产品生产企业、地理标志产品行业协会、合法经销商等，展示地理标志产品、发布交易需求，打造国际地理标志产品专馆，地理标志产品交易平台将特设中欧互认地理标志产品展示区。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（2）地理标志产品专馆国内展区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邀请国内地理标志专用标志合法使用人、地理标志产品权利人、地理标志产品行业协会商会等，展示具有地方特色的地理标志产品，发布交易需求，积极推动地理标志运用与乡村振兴战略有机结合。</w:t>
      </w:r>
    </w:p>
    <w:p>
      <w:pPr>
        <w:spacing w:line="600" w:lineRule="exact"/>
        <w:ind w:firstLine="642" w:firstLineChars="200"/>
        <w:rPr>
          <w:rFonts w:ascii="Times New Roman" w:hAnsi="Times New Roman" w:cs="Times New Roman"/>
          <w:b/>
          <w:szCs w:val="32"/>
        </w:rPr>
      </w:pPr>
      <w:r>
        <w:rPr>
          <w:rFonts w:ascii="Times New Roman" w:hAnsi="Times New Roman" w:cs="Times New Roman"/>
          <w:b/>
          <w:szCs w:val="32"/>
        </w:rPr>
        <w:t>2.知识产权交易博览馆</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（3）中国专利金奖成果博览区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邀请获得中国专利金奖的企业展示获奖专利技术及其产品。重点展示近三年前沿性基础研究、引领性原创成果等方面取得的重大进展。</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（4）专利技术交易博览区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邀请国内高校院所、国有企业、重点产业园区、产业联盟、专业镇、孵化器、湾高赛获奖单位等创新主体展示专利技术，并进行许可、交易。重点针对战略性新兴产业需求，对接高校院所、国有企业专利供给。</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（5）商标品牌交易博览区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邀请国内外创新型企业、品牌特色型企业、老字号、商会展示品牌形象，宣传品牌建设与发展经验，发布企业商标许可交易需求。</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（6）版权文化交易博览区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邀请国内外文化、动漫、软著等企业，展示国内文化产品实物、相关版权、动漫、软著等产品，发布交易市场供给和需求，搭建版权文化交易展示平台。</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（7）国际知识产权交易博览区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邀请国外重点国家和地区知识产权服务机构以及创新企业等展示各国知识产权特色服务模式，展示具有地域特点的知识产权交易运营成果，发布知识产权供需信息，宣传知识产权贸易成果及贸易政策。</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（8）知识产权运营服务展区</w:t>
      </w:r>
    </w:p>
    <w:p>
      <w:pPr>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邀请全球知识产权服务机构，展示知识产权交易运营、金融、咨询等知识产权服务项目及成果，提供知识产权交易资源，对接知识产权运营交易需求。</w:t>
      </w:r>
    </w:p>
    <w:p>
      <w:pPr>
        <w:adjustRightInd w:val="0"/>
        <w:snapToGrid w:val="0"/>
        <w:spacing w:line="600" w:lineRule="exact"/>
        <w:ind w:firstLine="642" w:firstLineChars="200"/>
        <w:rPr>
          <w:rFonts w:ascii="Times New Roman" w:hAnsi="Times New Roman" w:cs="Times New Roman"/>
          <w:szCs w:val="32"/>
        </w:rPr>
      </w:pPr>
      <w:r>
        <w:rPr>
          <w:rFonts w:ascii="Times New Roman" w:hAnsi="Times New Roman" w:eastAsia="楷体_GB2312" w:cs="Times New Roman"/>
          <w:b/>
          <w:bCs/>
          <w:szCs w:val="32"/>
          <w:lang w:bidi="en-US"/>
        </w:rPr>
        <w:t>（二）线下展览部分：</w:t>
      </w:r>
      <w:r>
        <w:rPr>
          <w:rFonts w:ascii="Times New Roman" w:hAnsi="Times New Roman" w:cs="Times New Roman"/>
          <w:szCs w:val="32"/>
        </w:rPr>
        <w:t>展览面积约1万平方米，划分“两大一精”三大展区，“两大”指两大交易博览区分别为知识产权交易博览区和地理标志产品交易博览区，“一精”指一个特色精品博览区即专利金奖成果博览区，并通过现场展位设计、布局，体现展区特色。</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知识产权交易博览区创新采用“大展区小主题”概念，下设知识产权质押融资、专利开放许可、知识产权证券化、知识产权协同运营中心等主题片区。</w:t>
      </w:r>
    </w:p>
    <w:p>
      <w:pPr>
        <w:adjustRightInd w:val="0"/>
        <w:snapToGrid w:val="0"/>
        <w:spacing w:line="600" w:lineRule="exact"/>
        <w:ind w:firstLine="648" w:firstLineChars="200"/>
        <w:rPr>
          <w:rFonts w:ascii="Times New Roman" w:hAnsi="Times New Roman" w:cs="Times New Roman"/>
          <w:spacing w:val="2"/>
          <w:szCs w:val="32"/>
        </w:rPr>
      </w:pPr>
      <w:r>
        <w:rPr>
          <w:rFonts w:ascii="Times New Roman" w:hAnsi="Times New Roman" w:cs="Times New Roman"/>
          <w:spacing w:val="2"/>
          <w:szCs w:val="32"/>
        </w:rPr>
        <w:t>1.</w:t>
      </w:r>
      <w:r>
        <w:rPr>
          <w:rFonts w:ascii="Times New Roman" w:hAnsi="Times New Roman" w:cs="Times New Roman"/>
          <w:b/>
          <w:bCs/>
          <w:spacing w:val="2"/>
          <w:szCs w:val="32"/>
        </w:rPr>
        <w:t>知识产权交易博览区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（1）知识产权交易主题区</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w:t>
      </w:r>
      <w:r>
        <w:rPr>
          <w:rFonts w:ascii="Times New Roman" w:hAnsi="Times New Roman" w:cs="Times New Roman"/>
          <w:spacing w:val="2"/>
          <w:szCs w:val="32"/>
        </w:rPr>
        <w:t>创新型</w:t>
      </w:r>
      <w:r>
        <w:rPr>
          <w:rFonts w:ascii="Times New Roman" w:hAnsi="Times New Roman" w:cs="Times New Roman"/>
          <w:szCs w:val="32"/>
        </w:rPr>
        <w:t>企业、高校、科研院所、新型研发机构、湾高赛获奖单位等各类创新主体展示专利、商标、版权等知识产权成果及交易、许可需求。重点针对战略性产业，挖掘具有“沉睡”专利的高校院所、国有企业参展，展示和发布高价值专利转化需求，为促进产业创新发展引入“源头活水”。</w:t>
      </w:r>
    </w:p>
    <w:p>
      <w:pPr>
        <w:adjustRightInd w:val="0"/>
        <w:snapToGrid w:val="0"/>
        <w:spacing w:line="600" w:lineRule="exact"/>
        <w:ind w:firstLine="648" w:firstLineChars="200"/>
        <w:rPr>
          <w:rFonts w:ascii="Times New Roman" w:hAnsi="Times New Roman" w:cs="Times New Roman"/>
          <w:spacing w:val="2"/>
          <w:szCs w:val="32"/>
        </w:rPr>
      </w:pPr>
      <w:r>
        <w:rPr>
          <w:rFonts w:ascii="Times New Roman" w:hAnsi="Times New Roman" w:cs="Times New Roman"/>
          <w:spacing w:val="2"/>
          <w:szCs w:val="32"/>
        </w:rPr>
        <w:t>（2）专利开放许可主题区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邀请参与到专利开放许可试点工作的</w:t>
      </w:r>
      <w:r>
        <w:rPr>
          <w:rFonts w:ascii="Times New Roman" w:hAnsi="Times New Roman" w:cs="Times New Roman"/>
          <w:snapToGrid w:val="0"/>
          <w:kern w:val="0"/>
          <w:szCs w:val="32"/>
        </w:rPr>
        <w:t>创新主体，包括高等院校、科研组织、国有企业等专利供给方和技术研发团队，以及按产业进行细分的</w:t>
      </w:r>
      <w:r>
        <w:rPr>
          <w:rFonts w:ascii="Times New Roman" w:hAnsi="Times New Roman" w:cs="Times New Roman"/>
          <w:szCs w:val="32"/>
        </w:rPr>
        <w:t>“专精特新”中小微企业</w:t>
      </w:r>
      <w:r>
        <w:rPr>
          <w:rFonts w:ascii="Times New Roman" w:hAnsi="Times New Roman" w:cs="Times New Roman"/>
          <w:snapToGrid w:val="0"/>
          <w:kern w:val="0"/>
          <w:szCs w:val="32"/>
        </w:rPr>
        <w:t>、园区代表等专利需求方和知识产权交易机构，现场开展</w:t>
      </w:r>
      <w:r>
        <w:rPr>
          <w:rFonts w:ascii="Times New Roman" w:hAnsi="Times New Roman" w:cs="Times New Roman"/>
          <w:szCs w:val="32"/>
        </w:rPr>
        <w:t>国有企业和高校院所面向企业建立利益最大化的专利技术分享模式的推介；并以展会为契机开展“把脉问诊”，切实帮助中小微企业挖掘专利转化需求、提供精准专利供给信息、开展精准辅导、提供免费公益服务，提高中小微企业专利运用能力。</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（3）知识产权协同运营中心主题区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现代农业与食品、半导体与集成电路、新一代信息技术、生物医药与健康、先进材料、软件与信息服务等战略性产业集群知识产权协同运营中心，面向参展的创新主体，以展会为契机抓手，以专利转化运营为展示重点，开展知识产权全链条服务，收集各自重点产业中小企业专利技术需求，后续持续开展订单式研发，使创新资源更好的惠及中小企业。</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（4）知识产权质押融资主题区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银行业金融机构、知识产权保险和相关服务机构，以及省内外重点产业园区、产业联盟、专业镇、孵化器、湾高赛获奖单位，现场开展知识产权质押融资政策宣讲，展示知识产权金融、咨询等知识产权服务项目及成果，提供知识产权资源，对接知识产权质押融资需求，现场收集信息，开展质押融资前置性服务。</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（5）知识产权证券化主题区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邀请证券公司、律师事务所、评估、评级机构、会计师事务所等一系列服务机构，重点邀请专利权属清晰并符合融资条件的企业，以及新一代信息技术、生物医药等战略</w:t>
      </w:r>
      <w:r>
        <w:rPr>
          <w:rFonts w:hint="eastAsia" w:cs="Times New Roman"/>
          <w:szCs w:val="32"/>
          <w:lang w:eastAsia="zh-CN"/>
        </w:rPr>
        <w:t>性</w:t>
      </w:r>
      <w:r>
        <w:rPr>
          <w:rFonts w:ascii="Times New Roman" w:hAnsi="Times New Roman" w:cs="Times New Roman"/>
          <w:szCs w:val="32"/>
        </w:rPr>
        <w:t>新兴产业企业，集中展示知识产权证券化产品成果，分享工作经验，解疑答惑，并开展知识产权证券化意向征集，帮助更多中小微企业获得发展急需的资金。</w:t>
      </w:r>
    </w:p>
    <w:p>
      <w:pPr>
        <w:numPr>
          <w:ilvl w:val="0"/>
          <w:numId w:val="2"/>
        </w:num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知识产权评估主题区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评估机构、估值机构、知识产权运营机构等主体展示推介知识产权价值评估、评价方法及知识产权评估工具，通过评估评价理论宣讲、产品介绍及评估评价服务，助力创新主体认识其知识产权价值和收益能力，为知识产权价值实现提供依据和参考。</w:t>
      </w:r>
    </w:p>
    <w:p>
      <w:pPr>
        <w:numPr>
          <w:ilvl w:val="0"/>
          <w:numId w:val="2"/>
        </w:num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知识产权保险主题区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保险机构展示专利、商标、地理标志等各类型知识产权保险产品，重点展示和推广海外知识产权侵权责任险、地理标志被侵权损失保险等创新险种，鼓励保险机构与创新主体现场达成成交意向，加强企业知识产权保险意识，防范知识产权风险，为企业发展保驾护航。</w:t>
      </w:r>
    </w:p>
    <w:p>
      <w:pPr>
        <w:adjustRightInd w:val="0"/>
        <w:snapToGrid w:val="0"/>
        <w:spacing w:line="600" w:lineRule="exact"/>
        <w:ind w:firstLine="650" w:firstLineChars="200"/>
        <w:rPr>
          <w:rFonts w:ascii="Times New Roman" w:hAnsi="Times New Roman" w:cs="Times New Roman"/>
          <w:b/>
          <w:bCs/>
          <w:spacing w:val="2"/>
          <w:szCs w:val="32"/>
        </w:rPr>
      </w:pPr>
      <w:r>
        <w:rPr>
          <w:rFonts w:ascii="Times New Roman" w:hAnsi="Times New Roman" w:cs="Times New Roman"/>
          <w:b/>
          <w:bCs/>
          <w:spacing w:val="2"/>
          <w:szCs w:val="32"/>
        </w:rPr>
        <w:t>2.地理标志产品交易博览区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本博览区将积极推动知识产权与乡村振兴战略有机结合，推进地理标志兴农，内设国内地理标志产品、中欧互认产品等主题片区。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（1）国内地理标志产品主题区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国内地理标志专用标志合法使用人、地理标志权利人、地理标志行业协会、商会等，展示展销具有地方特色的地理标志产品，发布交易需求。知交会平台该区拟以省级行政区划为单位设置地域地标馆，通过市场为主、行政力量辅助的形式邀请各省市场监管部门批量组织名优地理标志产品参展。</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（2）中欧互认产品主题区</w:t>
      </w:r>
    </w:p>
    <w:p>
      <w:pPr>
        <w:adjustRightInd w:val="0"/>
        <w:snapToGrid w:val="0"/>
        <w:spacing w:line="600" w:lineRule="exact"/>
        <w:ind w:firstLine="640" w:firstLineChars="200"/>
        <w:rPr>
          <w:rFonts w:ascii="Times New Roman" w:hAnsi="Times New Roman" w:cs="Times New Roman"/>
          <w:szCs w:val="32"/>
        </w:rPr>
      </w:pPr>
      <w:r>
        <w:rPr>
          <w:rFonts w:ascii="Times New Roman" w:hAnsi="Times New Roman" w:cs="Times New Roman"/>
          <w:szCs w:val="32"/>
        </w:rPr>
        <w:t>邀请全球地理标志产品生产企业、地理标志行业协会，尤其是</w:t>
      </w:r>
      <w:r>
        <w:rPr>
          <w:rFonts w:hint="eastAsia" w:cs="Times New Roman"/>
          <w:szCs w:val="32"/>
          <w:lang w:eastAsia="zh-CN"/>
        </w:rPr>
        <w:t>“</w:t>
      </w:r>
      <w:bookmarkStart w:id="2" w:name="_GoBack"/>
      <w:r>
        <w:rPr>
          <w:rFonts w:ascii="Times New Roman" w:hAnsi="Times New Roman" w:cs="Times New Roman"/>
          <w:szCs w:val="32"/>
        </w:rPr>
        <w:t>一带一路</w:t>
      </w:r>
      <w:bookmarkEnd w:id="2"/>
      <w:r>
        <w:rPr>
          <w:rFonts w:hint="eastAsia" w:cs="Times New Roman"/>
          <w:szCs w:val="32"/>
          <w:lang w:eastAsia="zh-CN"/>
        </w:rPr>
        <w:t>”</w:t>
      </w:r>
      <w:r>
        <w:rPr>
          <w:rFonts w:ascii="Times New Roman" w:hAnsi="Times New Roman" w:cs="Times New Roman"/>
          <w:szCs w:val="32"/>
        </w:rPr>
        <w:t>沿线国家地理标志产品及《中欧地理标志协定》互认产品参展，展示地理标志产品、发布交易需求，打造全球优质地理标志产品在粤港澳大湾区的展示及贸易中心。</w:t>
      </w:r>
    </w:p>
    <w:p>
      <w:pPr>
        <w:adjustRightInd w:val="0"/>
        <w:snapToGrid w:val="0"/>
        <w:spacing w:line="600" w:lineRule="exact"/>
        <w:ind w:firstLine="642" w:firstLineChars="200"/>
        <w:rPr>
          <w:rFonts w:ascii="Times New Roman" w:hAnsi="Times New Roman" w:cs="Times New Roman"/>
          <w:b/>
          <w:bCs/>
          <w:szCs w:val="32"/>
        </w:rPr>
      </w:pPr>
      <w:r>
        <w:rPr>
          <w:rFonts w:ascii="Times New Roman" w:hAnsi="Times New Roman" w:cs="Times New Roman"/>
          <w:b/>
          <w:bCs/>
          <w:szCs w:val="32"/>
        </w:rPr>
        <w:t>3.专利金奖成果博览区</w:t>
      </w:r>
    </w:p>
    <w:p>
      <w:pPr>
        <w:adjustRightInd w:val="0"/>
        <w:snapToGrid w:val="0"/>
        <w:spacing w:line="600" w:lineRule="exact"/>
        <w:ind w:firstLine="648" w:firstLineChars="200"/>
        <w:rPr>
          <w:rFonts w:ascii="Times New Roman" w:hAnsi="Times New Roman" w:cs="Times New Roman"/>
          <w:szCs w:val="32"/>
        </w:rPr>
      </w:pPr>
      <w:r>
        <w:rPr>
          <w:rFonts w:ascii="Times New Roman" w:hAnsi="Times New Roman" w:cs="Times New Roman"/>
          <w:spacing w:val="2"/>
          <w:szCs w:val="32"/>
        </w:rPr>
        <w:t>专利金奖成果博览区采用</w:t>
      </w:r>
      <w:r>
        <w:rPr>
          <w:rFonts w:ascii="Times New Roman" w:hAnsi="Times New Roman" w:cs="Times New Roman"/>
          <w:szCs w:val="32"/>
        </w:rPr>
        <w:t>开放式展区设计，重点展示近三年粤港澳大湾区中国专利金奖成果、引领性原创成果等方面所取得的重大进展。</w:t>
      </w:r>
    </w:p>
    <w:p>
      <w:pPr>
        <w:adjustRightInd w:val="0"/>
        <w:snapToGrid w:val="0"/>
        <w:spacing w:line="600" w:lineRule="exact"/>
        <w:ind w:firstLine="640" w:firstLineChars="200"/>
        <w:rPr>
          <w:rFonts w:ascii="Times New Roman" w:hAnsi="Times New Roman" w:eastAsia="黑体" w:cs="Times New Roman"/>
          <w:bCs/>
          <w:kern w:val="0"/>
          <w:szCs w:val="32"/>
        </w:rPr>
      </w:pPr>
      <w:r>
        <w:rPr>
          <w:rFonts w:ascii="Times New Roman" w:hAnsi="Times New Roman" w:eastAsia="黑体" w:cs="Times New Roman"/>
          <w:bCs/>
          <w:kern w:val="0"/>
          <w:szCs w:val="32"/>
        </w:rPr>
        <w:t>六、招商说明</w:t>
      </w:r>
    </w:p>
    <w:p>
      <w:pPr>
        <w:adjustRightInd w:val="0"/>
        <w:spacing w:line="580" w:lineRule="exact"/>
        <w:ind w:firstLine="640" w:firstLineChars="200"/>
        <w:rPr>
          <w:rFonts w:ascii="Times New Roman" w:hAnsi="Times New Roman" w:cs="Times New Roman"/>
          <w:szCs w:val="32"/>
        </w:rPr>
      </w:pPr>
      <w:r>
        <w:rPr>
          <w:rFonts w:ascii="Times New Roman" w:hAnsi="Times New Roman" w:cs="Times New Roman"/>
          <w:szCs w:val="32"/>
        </w:rPr>
        <w:t>以供需对接为原则，聚焦</w:t>
      </w:r>
      <w:r>
        <w:rPr>
          <w:rFonts w:ascii="Times New Roman" w:hAnsi="Times New Roman" w:cs="Times New Roman"/>
          <w:spacing w:val="2"/>
          <w:szCs w:val="32"/>
        </w:rPr>
        <w:t>若干战略性新兴产业、知识产权密集型产业，</w:t>
      </w:r>
      <w:r>
        <w:rPr>
          <w:rFonts w:ascii="Times New Roman" w:hAnsi="Times New Roman" w:cs="Times New Roman"/>
          <w:szCs w:val="32"/>
        </w:rPr>
        <w:t>根据参展技术、项目及合作需求，定向邀请供需两端的参观群体，重点招募拥有知识产权</w:t>
      </w:r>
      <w:r>
        <w:rPr>
          <w:rFonts w:ascii="Times New Roman" w:hAnsi="Times New Roman" w:cs="Times New Roman"/>
          <w:spacing w:val="2"/>
          <w:szCs w:val="32"/>
        </w:rPr>
        <w:t>质押融资、证券化等</w:t>
      </w:r>
      <w:r>
        <w:rPr>
          <w:rFonts w:ascii="Times New Roman" w:hAnsi="Times New Roman" w:cs="Times New Roman"/>
          <w:szCs w:val="32"/>
        </w:rPr>
        <w:t>合作需求的市场主体（尤其是中小企业）、有项目投资需求的金融机构、拥有产业化项目引进需求的各专门园区、孵化器及相关机构、高校院所、国有企业代表，有地理标志产品</w:t>
      </w:r>
      <w:r>
        <w:rPr>
          <w:rFonts w:ascii="Times New Roman" w:hAnsi="Times New Roman" w:cs="Times New Roman"/>
          <w:spacing w:val="2"/>
          <w:szCs w:val="32"/>
        </w:rPr>
        <w:t>大宗采购需求的</w:t>
      </w:r>
      <w:r>
        <w:rPr>
          <w:rFonts w:ascii="Times New Roman" w:hAnsi="Times New Roman" w:cs="Times New Roman"/>
          <w:szCs w:val="32"/>
        </w:rPr>
        <w:t>采购商，以及对创新合作、知识产权交易运营感兴趣的其他主体进行交易、观展。</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七、联系方式</w:t>
      </w:r>
    </w:p>
    <w:p>
      <w:pPr>
        <w:spacing w:line="580" w:lineRule="exact"/>
        <w:ind w:firstLine="640" w:firstLineChars="200"/>
        <w:jc w:val="left"/>
        <w:rPr>
          <w:rFonts w:ascii="Times New Roman" w:hAnsi="Times New Roman" w:eastAsia="楷体_GB2312" w:cs="Times New Roman"/>
          <w:szCs w:val="32"/>
        </w:rPr>
      </w:pPr>
      <w:r>
        <w:rPr>
          <w:rFonts w:ascii="Times New Roman" w:hAnsi="Times New Roman" w:eastAsia="楷体_GB2312" w:cs="Times New Roman"/>
          <w:szCs w:val="32"/>
        </w:rPr>
        <w:t>（一）招商招展联系人</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电话：18054295301</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电子邮箱：IP1@gbaipexpo.com</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联系人：林老师</w:t>
      </w:r>
    </w:p>
    <w:p>
      <w:pPr>
        <w:spacing w:line="58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（二）湾区论坛联系人</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 xml:space="preserve">电话：13928817649 </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电子邮箱：IP2@gbaipexpo.com</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联系人：王老师</w:t>
      </w:r>
    </w:p>
    <w:p>
      <w:pPr>
        <w:spacing w:line="58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（三）专场活动联系人</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电话：020-87683631</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电子邮箱：IP3@gbaipexpo.com</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联系人：袁老师</w:t>
      </w:r>
    </w:p>
    <w:p>
      <w:pPr>
        <w:spacing w:line="58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（四）平台服务联系人</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电话：13332836619</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电子邮箱：online@gbaipexpo.com</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联系人：涂老师</w:t>
      </w:r>
    </w:p>
    <w:p>
      <w:pPr>
        <w:spacing w:line="58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（五）组委会办公室联系人</w:t>
      </w:r>
    </w:p>
    <w:p>
      <w:pPr>
        <w:spacing w:line="580" w:lineRule="exact"/>
        <w:ind w:firstLine="640" w:firstLineChars="200"/>
        <w:jc w:val="left"/>
        <w:rPr>
          <w:rFonts w:ascii="Times New Roman" w:hAnsi="Times New Roman" w:cs="Times New Roman"/>
          <w:szCs w:val="32"/>
        </w:rPr>
      </w:pPr>
      <w:r>
        <w:rPr>
          <w:rFonts w:ascii="Times New Roman" w:hAnsi="Times New Roman" w:cs="Times New Roman"/>
          <w:szCs w:val="32"/>
        </w:rPr>
        <w:t>电话：020-87688210</w:t>
      </w:r>
    </w:p>
    <w:p>
      <w:pPr>
        <w:spacing w:line="580" w:lineRule="exact"/>
        <w:ind w:firstLine="640" w:firstLineChars="200"/>
        <w:jc w:val="left"/>
        <w:rPr>
          <w:rFonts w:ascii="Times New Roman" w:hAnsi="Times New Roman" w:cs="Times New Roman"/>
        </w:rPr>
      </w:pPr>
      <w:r>
        <w:rPr>
          <w:rFonts w:ascii="Times New Roman" w:hAnsi="Times New Roman" w:cs="Times New Roman"/>
          <w:szCs w:val="32"/>
        </w:rPr>
        <w:t>联系人：王老师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FFD90"/>
    <w:multiLevelType w:val="singleLevel"/>
    <w:tmpl w:val="B32FFD90"/>
    <w:lvl w:ilvl="0" w:tentative="0">
      <w:start w:val="3"/>
      <w:numFmt w:val="chineseCounting"/>
      <w:suff w:val="nothing"/>
      <w:lvlText w:val="%1、"/>
      <w:lvlJc w:val="left"/>
      <w:rPr>
        <w:rFonts w:hint="eastAsia"/>
      </w:rPr>
    </w:lvl>
  </w:abstractNum>
  <w:abstractNum w:abstractNumId="1">
    <w:nsid w:val="10B76D85"/>
    <w:multiLevelType w:val="singleLevel"/>
    <w:tmpl w:val="10B76D85"/>
    <w:lvl w:ilvl="0" w:tentative="0">
      <w:start w:val="6"/>
      <w:numFmt w:val="decimal"/>
      <w:suff w:val="nothing"/>
      <w:lvlText w:val="（%1）"/>
      <w:lvlJc w:val="left"/>
    </w:lvl>
  </w:abstractNum>
  <w:num w:numId="1">
    <w:abstractNumId w:val="0"/>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86F3E"/>
    <w:rsid w:val="73FF2541"/>
    <w:rsid w:val="74686F3E"/>
    <w:rsid w:val="BDEE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Times New Roman" w:hAnsi="Times New Roman" w:eastAsia="仿宋_GB2312" w:cs="Times New Roman"/>
      <w:kern w:val="2"/>
      <w:sz w:val="32"/>
      <w:lang w:val="en-US" w:eastAsia="zh-CN" w:bidi="ar-SA"/>
    </w:rPr>
  </w:style>
  <w:style w:type="paragraph" w:styleId="3">
    <w:name w:val="toc 2"/>
    <w:next w:val="1"/>
    <w:unhideWhenUsed/>
    <w:qFormat/>
    <w:uiPriority w:val="0"/>
    <w:pPr>
      <w:widowControl w:val="0"/>
      <w:ind w:left="420" w:leftChars="20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2022-11-14T22:43:00Z</dcterms:created>
  <dc:creator>huanglf1</dc:creator>
  <cp:lastModifiedBy>WANGQW</cp:lastModifiedBy>
  <dcterms:modified xsi:type="dcterms:W3CDTF">2022-11-15T16:46:17Z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